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AE4" w:rsidRPr="00390398" w:rsidRDefault="004B71F5" w:rsidP="00EC1694">
      <w:pPr>
        <w:spacing w:before="200"/>
        <w:jc w:val="both"/>
        <w:rPr>
          <w:b/>
          <w:sz w:val="24"/>
          <w:u w:val="single"/>
        </w:rPr>
      </w:pPr>
      <w:r w:rsidRPr="00390398">
        <w:rPr>
          <w:rFonts w:ascii="Calibri" w:hAnsi="Calibri" w:cs="Arial"/>
          <w:b/>
          <w:bCs/>
          <w:noProof/>
          <w:sz w:val="24"/>
          <w:szCs w:val="20"/>
          <w:u w:val="single"/>
          <w:lang w:eastAsia="en-GB"/>
        </w:rPr>
        <w:drawing>
          <wp:anchor distT="0" distB="0" distL="114300" distR="114300" simplePos="0" relativeHeight="251659264" behindDoc="0" locked="0" layoutInCell="1" allowOverlap="1" wp14:anchorId="6D74FAD4" wp14:editId="3BC778A6">
            <wp:simplePos x="0" y="0"/>
            <wp:positionH relativeFrom="column">
              <wp:posOffset>-32385</wp:posOffset>
            </wp:positionH>
            <wp:positionV relativeFrom="paragraph">
              <wp:posOffset>-168275</wp:posOffset>
            </wp:positionV>
            <wp:extent cx="1673860" cy="856615"/>
            <wp:effectExtent l="0" t="0" r="2540" b="635"/>
            <wp:wrapSquare wrapText="bothSides"/>
            <wp:docPr id="17" name="Picture 17" descr="QCA log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CA logo_RGB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856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0398">
        <w:rPr>
          <w:b/>
          <w:sz w:val="24"/>
          <w:u w:val="single"/>
        </w:rPr>
        <w:t>Issuing new</w:t>
      </w:r>
      <w:r w:rsidR="00390398" w:rsidRPr="00390398">
        <w:rPr>
          <w:b/>
          <w:sz w:val="24"/>
          <w:u w:val="single"/>
        </w:rPr>
        <w:t xml:space="preserve"> nil-cost option</w:t>
      </w:r>
      <w:r w:rsidRPr="00390398">
        <w:rPr>
          <w:b/>
          <w:sz w:val="24"/>
          <w:u w:val="single"/>
        </w:rPr>
        <w:t xml:space="preserve"> shares to employees and directors</w:t>
      </w:r>
    </w:p>
    <w:p w:rsidR="004B71F5" w:rsidRPr="00390398" w:rsidRDefault="004B71F5" w:rsidP="00390398">
      <w:pPr>
        <w:jc w:val="both"/>
        <w:rPr>
          <w:b/>
          <w:u w:val="single"/>
        </w:rPr>
      </w:pPr>
    </w:p>
    <w:p w:rsidR="00390398" w:rsidRPr="00BD5AA5" w:rsidRDefault="00972688" w:rsidP="00BD5AA5">
      <w:pPr>
        <w:pStyle w:val="ListParagraph"/>
        <w:numPr>
          <w:ilvl w:val="0"/>
          <w:numId w:val="9"/>
        </w:numPr>
        <w:spacing w:after="200" w:line="276" w:lineRule="auto"/>
        <w:ind w:left="426" w:hanging="284"/>
        <w:contextualSpacing w:val="0"/>
        <w:jc w:val="both"/>
        <w:rPr>
          <w:rFonts w:ascii="Calibri" w:hAnsi="Calibri"/>
          <w:b/>
          <w:sz w:val="22"/>
          <w:u w:val="single"/>
        </w:rPr>
      </w:pPr>
      <w:r w:rsidRPr="00BD5AA5">
        <w:rPr>
          <w:rFonts w:ascii="Calibri" w:hAnsi="Calibri"/>
          <w:b/>
          <w:sz w:val="22"/>
          <w:u w:val="single"/>
        </w:rPr>
        <w:t>Background</w:t>
      </w:r>
    </w:p>
    <w:p w:rsidR="00390398" w:rsidRPr="00972688" w:rsidRDefault="00613CA4" w:rsidP="00BD5AA5">
      <w:pPr>
        <w:jc w:val="both"/>
      </w:pPr>
      <w:r>
        <w:t>The</w:t>
      </w:r>
      <w:r w:rsidR="00390398" w:rsidRPr="00972688">
        <w:t xml:space="preserve"> reasons why a company may opt to issue nil-cost share options, which </w:t>
      </w:r>
      <w:r w:rsidR="00390398" w:rsidRPr="00972688">
        <w:rPr>
          <w:b/>
        </w:rPr>
        <w:t>s</w:t>
      </w:r>
      <w:r w:rsidR="00390398" w:rsidRPr="00972688">
        <w:rPr>
          <w:rStyle w:val="Strong"/>
          <w:rFonts w:ascii="Calibri" w:hAnsi="Calibri"/>
          <w:b w:val="0"/>
        </w:rPr>
        <w:t>erve as share-based incentive and reward to employees and directors</w:t>
      </w:r>
      <w:r>
        <w:rPr>
          <w:rStyle w:val="Strong"/>
          <w:rFonts w:ascii="Calibri" w:hAnsi="Calibri"/>
          <w:b w:val="0"/>
        </w:rPr>
        <w:t>, include</w:t>
      </w:r>
      <w:r w:rsidR="00390398" w:rsidRPr="00972688">
        <w:rPr>
          <w:rStyle w:val="Strong"/>
          <w:rFonts w:ascii="Calibri" w:hAnsi="Calibri"/>
          <w:b w:val="0"/>
        </w:rPr>
        <w:t>:</w:t>
      </w:r>
    </w:p>
    <w:p w:rsidR="00390398" w:rsidRPr="00972688" w:rsidRDefault="00390398" w:rsidP="00BD5AA5">
      <w:pPr>
        <w:pStyle w:val="ListParagraph"/>
        <w:numPr>
          <w:ilvl w:val="0"/>
          <w:numId w:val="3"/>
        </w:numPr>
        <w:spacing w:after="200" w:line="276" w:lineRule="auto"/>
        <w:ind w:left="567" w:hanging="283"/>
        <w:contextualSpacing w:val="0"/>
        <w:jc w:val="both"/>
        <w:rPr>
          <w:b/>
          <w:sz w:val="22"/>
        </w:rPr>
      </w:pPr>
      <w:r w:rsidRPr="00972688">
        <w:rPr>
          <w:rStyle w:val="Strong"/>
          <w:rFonts w:ascii="Calibri" w:hAnsi="Calibri"/>
          <w:b w:val="0"/>
          <w:sz w:val="22"/>
        </w:rPr>
        <w:t>Encoura</w:t>
      </w:r>
      <w:r w:rsidR="00613CA4">
        <w:rPr>
          <w:rStyle w:val="Strong"/>
          <w:rFonts w:ascii="Calibri" w:hAnsi="Calibri"/>
          <w:b w:val="0"/>
          <w:sz w:val="22"/>
        </w:rPr>
        <w:t>ging</w:t>
      </w:r>
      <w:r w:rsidRPr="00972688">
        <w:rPr>
          <w:rStyle w:val="Strong"/>
          <w:rFonts w:ascii="Calibri" w:hAnsi="Calibri"/>
          <w:b w:val="0"/>
          <w:sz w:val="22"/>
        </w:rPr>
        <w:t xml:space="preserve"> loyalty and retention of staff, th</w:t>
      </w:r>
      <w:r w:rsidR="00AC31EC">
        <w:rPr>
          <w:rStyle w:val="Strong"/>
          <w:rFonts w:ascii="Calibri" w:hAnsi="Calibri"/>
          <w:b w:val="0"/>
          <w:sz w:val="22"/>
        </w:rPr>
        <w:t xml:space="preserve">us reducing recruitment </w:t>
      </w:r>
      <w:r w:rsidRPr="00972688">
        <w:rPr>
          <w:rStyle w:val="Strong"/>
          <w:rFonts w:ascii="Calibri" w:hAnsi="Calibri"/>
          <w:b w:val="0"/>
          <w:sz w:val="22"/>
        </w:rPr>
        <w:t>related costs;</w:t>
      </w:r>
    </w:p>
    <w:p w:rsidR="00390398" w:rsidRPr="00972688" w:rsidRDefault="00AC31EC" w:rsidP="00BD5AA5">
      <w:pPr>
        <w:pStyle w:val="ListParagraph"/>
        <w:numPr>
          <w:ilvl w:val="0"/>
          <w:numId w:val="3"/>
        </w:numPr>
        <w:spacing w:after="200" w:line="276" w:lineRule="auto"/>
        <w:ind w:left="567" w:hanging="283"/>
        <w:contextualSpacing w:val="0"/>
        <w:jc w:val="both"/>
        <w:rPr>
          <w:rStyle w:val="Strong"/>
          <w:rFonts w:ascii="Calibri" w:hAnsi="Calibri"/>
          <w:b w:val="0"/>
          <w:sz w:val="22"/>
        </w:rPr>
      </w:pPr>
      <w:r>
        <w:rPr>
          <w:rStyle w:val="Strong"/>
          <w:rFonts w:ascii="Calibri" w:hAnsi="Calibri"/>
          <w:b w:val="0"/>
          <w:sz w:val="22"/>
        </w:rPr>
        <w:t>Increas</w:t>
      </w:r>
      <w:r w:rsidR="00613CA4">
        <w:rPr>
          <w:rStyle w:val="Strong"/>
          <w:rFonts w:ascii="Calibri" w:hAnsi="Calibri"/>
          <w:b w:val="0"/>
          <w:sz w:val="22"/>
        </w:rPr>
        <w:t>ing</w:t>
      </w:r>
      <w:r>
        <w:rPr>
          <w:rStyle w:val="Strong"/>
          <w:rFonts w:ascii="Calibri" w:hAnsi="Calibri"/>
          <w:b w:val="0"/>
          <w:sz w:val="22"/>
        </w:rPr>
        <w:t xml:space="preserve"> productivity of the workforce and potential business growth</w:t>
      </w:r>
      <w:r w:rsidR="00613CA4">
        <w:rPr>
          <w:rStyle w:val="Strong"/>
          <w:rFonts w:ascii="Calibri" w:hAnsi="Calibri"/>
          <w:b w:val="0"/>
          <w:sz w:val="22"/>
        </w:rPr>
        <w:t>; and</w:t>
      </w:r>
    </w:p>
    <w:p w:rsidR="00390398" w:rsidRPr="00972688" w:rsidRDefault="00390398" w:rsidP="00BD5AA5">
      <w:pPr>
        <w:pStyle w:val="ListParagraph"/>
        <w:numPr>
          <w:ilvl w:val="0"/>
          <w:numId w:val="3"/>
        </w:numPr>
        <w:spacing w:after="200" w:line="276" w:lineRule="auto"/>
        <w:ind w:left="567" w:hanging="283"/>
        <w:contextualSpacing w:val="0"/>
        <w:jc w:val="both"/>
        <w:rPr>
          <w:rFonts w:ascii="Calibri" w:hAnsi="Calibri"/>
          <w:bCs/>
          <w:sz w:val="22"/>
        </w:rPr>
      </w:pPr>
      <w:r w:rsidRPr="00972688">
        <w:rPr>
          <w:rStyle w:val="Strong"/>
          <w:rFonts w:ascii="Calibri" w:hAnsi="Calibri"/>
          <w:b w:val="0"/>
          <w:sz w:val="22"/>
        </w:rPr>
        <w:t>Reduc</w:t>
      </w:r>
      <w:r w:rsidR="00613CA4">
        <w:rPr>
          <w:rStyle w:val="Strong"/>
          <w:rFonts w:ascii="Calibri" w:hAnsi="Calibri"/>
          <w:b w:val="0"/>
          <w:sz w:val="22"/>
        </w:rPr>
        <w:t>ing</w:t>
      </w:r>
      <w:r w:rsidRPr="00972688">
        <w:rPr>
          <w:rStyle w:val="Strong"/>
          <w:rFonts w:ascii="Calibri" w:hAnsi="Calibri"/>
          <w:b w:val="0"/>
          <w:sz w:val="22"/>
        </w:rPr>
        <w:t xml:space="preserve"> remuneration costs.</w:t>
      </w:r>
    </w:p>
    <w:p w:rsidR="00C00869" w:rsidRPr="00C00869" w:rsidRDefault="00F06E74" w:rsidP="00BD5AA5">
      <w:pPr>
        <w:jc w:val="both"/>
        <w:rPr>
          <w:b/>
        </w:rPr>
      </w:pPr>
      <w:r>
        <w:rPr>
          <w:rStyle w:val="Strong"/>
          <w:rFonts w:ascii="Calibri" w:hAnsi="Calibri"/>
          <w:b w:val="0"/>
        </w:rPr>
        <w:t>F</w:t>
      </w:r>
      <w:r w:rsidRPr="00C00869">
        <w:rPr>
          <w:rStyle w:val="Strong"/>
          <w:rFonts w:ascii="Calibri" w:hAnsi="Calibri"/>
          <w:b w:val="0"/>
        </w:rPr>
        <w:t xml:space="preserve">or AIM companies </w:t>
      </w:r>
      <w:r>
        <w:rPr>
          <w:rStyle w:val="Strong"/>
          <w:rFonts w:ascii="Calibri" w:hAnsi="Calibri"/>
          <w:b w:val="0"/>
        </w:rPr>
        <w:t>t</w:t>
      </w:r>
      <w:r w:rsidR="00C00869" w:rsidRPr="00C00869">
        <w:rPr>
          <w:rStyle w:val="Strong"/>
          <w:rFonts w:ascii="Calibri" w:hAnsi="Calibri"/>
          <w:b w:val="0"/>
        </w:rPr>
        <w:t>hese types of plans commonly include safeguards such as a li</w:t>
      </w:r>
      <w:bookmarkStart w:id="0" w:name="_GoBack"/>
      <w:bookmarkEnd w:id="0"/>
      <w:r w:rsidR="00C00869" w:rsidRPr="00C00869">
        <w:rPr>
          <w:rStyle w:val="Strong"/>
          <w:rFonts w:ascii="Calibri" w:hAnsi="Calibri"/>
          <w:b w:val="0"/>
        </w:rPr>
        <w:t xml:space="preserve">mit on the number </w:t>
      </w:r>
      <w:r w:rsidR="00C00869">
        <w:rPr>
          <w:rStyle w:val="Strong"/>
          <w:rFonts w:ascii="Calibri" w:hAnsi="Calibri"/>
          <w:b w:val="0"/>
        </w:rPr>
        <w:t xml:space="preserve">of shares that might be issued – </w:t>
      </w:r>
      <w:r w:rsidR="00C00869" w:rsidRPr="00C00869">
        <w:rPr>
          <w:rStyle w:val="Strong"/>
          <w:rFonts w:ascii="Calibri" w:hAnsi="Calibri"/>
          <w:b w:val="0"/>
        </w:rPr>
        <w:t xml:space="preserve">commonly 10% of issued share capital from time-to-time measured over a </w:t>
      </w:r>
      <w:r w:rsidR="004F005D">
        <w:rPr>
          <w:rStyle w:val="Strong"/>
          <w:rFonts w:ascii="Calibri" w:hAnsi="Calibri"/>
          <w:b w:val="0"/>
        </w:rPr>
        <w:t xml:space="preserve">ten </w:t>
      </w:r>
      <w:r w:rsidR="00C00869" w:rsidRPr="00C00869">
        <w:rPr>
          <w:rStyle w:val="Strong"/>
          <w:rFonts w:ascii="Calibri" w:hAnsi="Calibri"/>
          <w:b w:val="0"/>
        </w:rPr>
        <w:t>year period</w:t>
      </w:r>
      <w:r w:rsidR="00C00869">
        <w:rPr>
          <w:rStyle w:val="Strong"/>
          <w:rFonts w:ascii="Calibri" w:hAnsi="Calibri"/>
          <w:b w:val="0"/>
        </w:rPr>
        <w:t xml:space="preserve"> –</w:t>
      </w:r>
      <w:r w:rsidR="00C00869" w:rsidRPr="00C00869">
        <w:rPr>
          <w:rStyle w:val="Strong"/>
          <w:rFonts w:ascii="Calibri" w:hAnsi="Calibri"/>
          <w:b w:val="0"/>
        </w:rPr>
        <w:t xml:space="preserve"> and require stretching performance conditions to enable </w:t>
      </w:r>
      <w:r w:rsidR="00C00869">
        <w:rPr>
          <w:rStyle w:val="Strong"/>
          <w:rFonts w:ascii="Calibri" w:hAnsi="Calibri"/>
          <w:b w:val="0"/>
        </w:rPr>
        <w:t>the employee or director</w:t>
      </w:r>
      <w:r w:rsidR="00C00869" w:rsidRPr="00C00869">
        <w:rPr>
          <w:rStyle w:val="Strong"/>
          <w:rFonts w:ascii="Calibri" w:hAnsi="Calibri"/>
          <w:b w:val="0"/>
        </w:rPr>
        <w:t xml:space="preserve"> to share in the growth rather than extract existing value from shareholders.</w:t>
      </w:r>
    </w:p>
    <w:p w:rsidR="00390398" w:rsidRPr="00972688" w:rsidRDefault="00390398" w:rsidP="00BD5AA5">
      <w:pPr>
        <w:jc w:val="both"/>
      </w:pPr>
      <w:r w:rsidRPr="00972688">
        <w:t xml:space="preserve">However, </w:t>
      </w:r>
      <w:r w:rsidR="00AC31EC">
        <w:t>issuing nil-cost share options</w:t>
      </w:r>
      <w:r w:rsidRPr="00972688">
        <w:t xml:space="preserve"> can have three impacts:</w:t>
      </w:r>
    </w:p>
    <w:p w:rsidR="00390398" w:rsidRPr="00972688" w:rsidRDefault="00390398" w:rsidP="00BD5AA5">
      <w:pPr>
        <w:pStyle w:val="ListParagraph"/>
        <w:numPr>
          <w:ilvl w:val="0"/>
          <w:numId w:val="4"/>
        </w:numPr>
        <w:spacing w:after="200" w:line="276" w:lineRule="auto"/>
        <w:ind w:left="567" w:hanging="283"/>
        <w:contextualSpacing w:val="0"/>
        <w:jc w:val="both"/>
        <w:rPr>
          <w:rStyle w:val="Strong"/>
          <w:rFonts w:ascii="Calibri" w:hAnsi="Calibri"/>
          <w:b w:val="0"/>
          <w:sz w:val="22"/>
        </w:rPr>
      </w:pPr>
      <w:r w:rsidRPr="00972688">
        <w:rPr>
          <w:rStyle w:val="Strong"/>
          <w:rFonts w:ascii="Calibri" w:hAnsi="Calibri"/>
          <w:b w:val="0"/>
          <w:sz w:val="22"/>
        </w:rPr>
        <w:t>Existing shareholders’ holdings are diluted to the extent that the value of the</w:t>
      </w:r>
      <w:r w:rsidR="00AC31EC">
        <w:rPr>
          <w:rStyle w:val="Strong"/>
          <w:rFonts w:ascii="Calibri" w:hAnsi="Calibri"/>
          <w:b w:val="0"/>
          <w:sz w:val="22"/>
        </w:rPr>
        <w:t>ir</w:t>
      </w:r>
      <w:r w:rsidRPr="00972688">
        <w:rPr>
          <w:rStyle w:val="Strong"/>
          <w:rFonts w:ascii="Calibri" w:hAnsi="Calibri"/>
          <w:b w:val="0"/>
          <w:sz w:val="22"/>
        </w:rPr>
        <w:t xml:space="preserve"> holding and influence in the company is reduced.</w:t>
      </w:r>
    </w:p>
    <w:p w:rsidR="00390398" w:rsidRPr="00972688" w:rsidRDefault="00390398" w:rsidP="00BD5AA5">
      <w:pPr>
        <w:pStyle w:val="ListParagraph"/>
        <w:numPr>
          <w:ilvl w:val="0"/>
          <w:numId w:val="4"/>
        </w:numPr>
        <w:spacing w:after="200" w:line="276" w:lineRule="auto"/>
        <w:ind w:left="567" w:hanging="283"/>
        <w:contextualSpacing w:val="0"/>
        <w:jc w:val="both"/>
        <w:rPr>
          <w:rStyle w:val="Strong"/>
          <w:rFonts w:ascii="Calibri" w:hAnsi="Calibri"/>
          <w:b w:val="0"/>
          <w:sz w:val="22"/>
        </w:rPr>
      </w:pPr>
      <w:r w:rsidRPr="00972688">
        <w:rPr>
          <w:rStyle w:val="Strong"/>
          <w:rFonts w:ascii="Calibri" w:hAnsi="Calibri"/>
          <w:b w:val="0"/>
          <w:sz w:val="22"/>
        </w:rPr>
        <w:t>Participants receive value, and if they are either an employee or a director, the employer company is normally liable to operate PAYE and suffer the employer’s secondary national insurance contributions</w:t>
      </w:r>
      <w:r w:rsidR="00AC31EC">
        <w:rPr>
          <w:rStyle w:val="Strong"/>
          <w:rFonts w:ascii="Calibri" w:hAnsi="Calibri"/>
          <w:b w:val="0"/>
          <w:sz w:val="22"/>
        </w:rPr>
        <w:t xml:space="preserve"> </w:t>
      </w:r>
      <w:r w:rsidRPr="00972688">
        <w:rPr>
          <w:rStyle w:val="Strong"/>
          <w:rFonts w:ascii="Calibri" w:hAnsi="Calibri"/>
          <w:b w:val="0"/>
          <w:sz w:val="22"/>
        </w:rPr>
        <w:t>– 1</w:t>
      </w:r>
      <w:r w:rsidR="00AC31EC">
        <w:rPr>
          <w:rStyle w:val="Strong"/>
          <w:rFonts w:ascii="Calibri" w:hAnsi="Calibri"/>
          <w:b w:val="0"/>
          <w:sz w:val="22"/>
        </w:rPr>
        <w:t xml:space="preserve">3.8% for the 2017/18 tax year. Sometimes, </w:t>
      </w:r>
      <w:r w:rsidRPr="00972688">
        <w:rPr>
          <w:rStyle w:val="Strong"/>
          <w:rFonts w:ascii="Calibri" w:hAnsi="Calibri"/>
          <w:b w:val="0"/>
          <w:sz w:val="22"/>
        </w:rPr>
        <w:t>this NIC liability can be passed to the employee</w:t>
      </w:r>
      <w:r w:rsidR="00AC31EC">
        <w:rPr>
          <w:rStyle w:val="Strong"/>
          <w:rFonts w:ascii="Calibri" w:hAnsi="Calibri"/>
          <w:b w:val="0"/>
          <w:sz w:val="22"/>
        </w:rPr>
        <w:t xml:space="preserve"> or director </w:t>
      </w:r>
      <w:r w:rsidRPr="00972688">
        <w:rPr>
          <w:rStyle w:val="Strong"/>
          <w:rFonts w:ascii="Calibri" w:hAnsi="Calibri"/>
          <w:b w:val="0"/>
          <w:sz w:val="22"/>
        </w:rPr>
        <w:t>with their consent.</w:t>
      </w:r>
    </w:p>
    <w:p w:rsidR="00390398" w:rsidRPr="00972688" w:rsidRDefault="00390398" w:rsidP="00BD5AA5">
      <w:pPr>
        <w:pStyle w:val="ListParagraph"/>
        <w:numPr>
          <w:ilvl w:val="0"/>
          <w:numId w:val="4"/>
        </w:numPr>
        <w:spacing w:after="200" w:line="276" w:lineRule="auto"/>
        <w:ind w:left="567" w:hanging="283"/>
        <w:contextualSpacing w:val="0"/>
        <w:jc w:val="both"/>
        <w:rPr>
          <w:rStyle w:val="Strong"/>
          <w:rFonts w:ascii="Calibri" w:hAnsi="Calibri"/>
          <w:b w:val="0"/>
          <w:sz w:val="22"/>
        </w:rPr>
      </w:pPr>
      <w:r w:rsidRPr="00972688">
        <w:rPr>
          <w:rStyle w:val="Strong"/>
          <w:rFonts w:ascii="Calibri" w:hAnsi="Calibri"/>
          <w:b w:val="0"/>
          <w:sz w:val="22"/>
        </w:rPr>
        <w:t>The fair value of the share-based remuneration is an expense identified in the profit and loss account and therefore influences the profit, in accordance with FRS</w:t>
      </w:r>
      <w:r w:rsidR="00AC31EC">
        <w:rPr>
          <w:rStyle w:val="Strong"/>
          <w:rFonts w:ascii="Calibri" w:hAnsi="Calibri"/>
          <w:b w:val="0"/>
          <w:sz w:val="22"/>
        </w:rPr>
        <w:t xml:space="preserve"> </w:t>
      </w:r>
      <w:r w:rsidRPr="00972688">
        <w:rPr>
          <w:rStyle w:val="Strong"/>
          <w:rFonts w:ascii="Calibri" w:hAnsi="Calibri"/>
          <w:b w:val="0"/>
          <w:sz w:val="22"/>
        </w:rPr>
        <w:t>102 (and IFRS 2).</w:t>
      </w:r>
    </w:p>
    <w:p w:rsidR="00AC31EC" w:rsidRPr="00BC3F0D" w:rsidRDefault="00C00869" w:rsidP="00BD5AA5">
      <w:pPr>
        <w:jc w:val="both"/>
        <w:rPr>
          <w:rStyle w:val="Strong"/>
          <w:rFonts w:ascii="Calibri" w:hAnsi="Calibri"/>
          <w:i/>
        </w:rPr>
      </w:pPr>
      <w:r w:rsidRPr="00BC3F0D">
        <w:rPr>
          <w:rStyle w:val="Strong"/>
          <w:rFonts w:ascii="Calibri" w:hAnsi="Calibri"/>
          <w:i/>
        </w:rPr>
        <w:t>Existing guidance published by the Quoted Companies Alliance</w:t>
      </w:r>
    </w:p>
    <w:p w:rsidR="00C00869" w:rsidRPr="00BC3F0D" w:rsidRDefault="00C00869" w:rsidP="00BD5AA5">
      <w:pPr>
        <w:jc w:val="both"/>
        <w:rPr>
          <w:rStyle w:val="Strong"/>
          <w:rFonts w:ascii="Calibri" w:hAnsi="Calibri"/>
          <w:b w:val="0"/>
        </w:rPr>
      </w:pPr>
      <w:r w:rsidRPr="00BC3F0D">
        <w:rPr>
          <w:rStyle w:val="Strong"/>
          <w:rFonts w:ascii="Calibri" w:hAnsi="Calibri"/>
          <w:b w:val="0"/>
        </w:rPr>
        <w:t xml:space="preserve">Although the current AIM Rules for Companies </w:t>
      </w:r>
      <w:r w:rsidRPr="00BC3F0D">
        <w:rPr>
          <w:rFonts w:ascii="Calibri" w:hAnsi="Calibri" w:cs="Arial"/>
        </w:rPr>
        <w:t xml:space="preserve">do not currently require shareholder approval or set limits on employee share plans, </w:t>
      </w:r>
      <w:r w:rsidRPr="00BC3F0D">
        <w:rPr>
          <w:rStyle w:val="Strong"/>
          <w:rFonts w:ascii="Calibri" w:hAnsi="Calibri"/>
          <w:b w:val="0"/>
        </w:rPr>
        <w:t>small and mid-size quoted companies are encouraged to review:</w:t>
      </w:r>
    </w:p>
    <w:p w:rsidR="00C00869" w:rsidRPr="00BD5AA5" w:rsidRDefault="00C00869" w:rsidP="00BD5AA5">
      <w:pPr>
        <w:pStyle w:val="ListParagraph"/>
        <w:numPr>
          <w:ilvl w:val="0"/>
          <w:numId w:val="9"/>
        </w:numPr>
        <w:spacing w:after="200" w:line="276" w:lineRule="auto"/>
        <w:ind w:left="426" w:hanging="284"/>
        <w:contextualSpacing w:val="0"/>
        <w:jc w:val="both"/>
        <w:rPr>
          <w:rStyle w:val="Strong"/>
          <w:rFonts w:ascii="Calibri" w:hAnsi="Calibri" w:cs="Arial"/>
          <w:sz w:val="22"/>
          <w:u w:val="single"/>
        </w:rPr>
      </w:pPr>
      <w:r w:rsidRPr="00BD5AA5">
        <w:rPr>
          <w:rStyle w:val="Strong"/>
          <w:rFonts w:ascii="Calibri" w:hAnsi="Calibri" w:cs="Arial"/>
          <w:sz w:val="22"/>
          <w:u w:val="single"/>
        </w:rPr>
        <w:t>The QCA Remuneration Committee Guide for Small and Mid-Size Quoted Companies</w:t>
      </w:r>
      <w:r w:rsidRPr="008B3729">
        <w:rPr>
          <w:rStyle w:val="EndnoteReference"/>
          <w:rFonts w:ascii="Calibri" w:hAnsi="Calibri" w:cs="Arial"/>
          <w:bCs/>
          <w:sz w:val="22"/>
          <w:u w:val="single"/>
        </w:rPr>
        <w:endnoteReference w:id="1"/>
      </w:r>
    </w:p>
    <w:p w:rsidR="00613CA4" w:rsidRPr="00613CA4" w:rsidRDefault="00613CA4" w:rsidP="00BD5AA5">
      <w:pPr>
        <w:jc w:val="both"/>
        <w:rPr>
          <w:rStyle w:val="Strong"/>
          <w:rFonts w:ascii="Calibri" w:hAnsi="Calibri" w:cs="Arial"/>
          <w:b w:val="0"/>
        </w:rPr>
      </w:pPr>
      <w:r>
        <w:rPr>
          <w:rStyle w:val="Strong"/>
          <w:rFonts w:ascii="Calibri" w:hAnsi="Calibri" w:cs="Arial"/>
          <w:b w:val="0"/>
        </w:rPr>
        <w:t xml:space="preserve">Our Remuneration Committee Guide </w:t>
      </w:r>
      <w:r w:rsidRPr="00613CA4">
        <w:rPr>
          <w:rStyle w:val="Strong"/>
          <w:rFonts w:ascii="Calibri" w:hAnsi="Calibri" w:cs="Arial"/>
          <w:b w:val="0"/>
        </w:rPr>
        <w:t>assists the members of the remuneration committees and those who support them in setting pay for executive directors and senior management in a fair and reasonable manner.</w:t>
      </w:r>
      <w:r>
        <w:rPr>
          <w:rStyle w:val="Strong"/>
          <w:rFonts w:ascii="Calibri" w:hAnsi="Calibri" w:cs="Arial"/>
          <w:b w:val="0"/>
        </w:rPr>
        <w:t xml:space="preserve"> It includes the following advice:</w:t>
      </w:r>
    </w:p>
    <w:p w:rsidR="008B3729" w:rsidRPr="008B3729" w:rsidRDefault="00923B08" w:rsidP="00BD5AA5">
      <w:pPr>
        <w:pStyle w:val="ListParagraph"/>
        <w:numPr>
          <w:ilvl w:val="0"/>
          <w:numId w:val="8"/>
        </w:numPr>
        <w:spacing w:after="200" w:line="276" w:lineRule="auto"/>
        <w:ind w:left="567" w:hanging="284"/>
        <w:contextualSpacing w:val="0"/>
        <w:jc w:val="both"/>
        <w:rPr>
          <w:rFonts w:ascii="Calibri" w:hAnsi="Calibri" w:cs="Arial"/>
          <w:sz w:val="22"/>
        </w:rPr>
      </w:pPr>
      <w:r w:rsidRPr="008B3729">
        <w:rPr>
          <w:rStyle w:val="Strong"/>
          <w:rFonts w:ascii="Calibri" w:hAnsi="Calibri" w:cs="Arial"/>
          <w:sz w:val="22"/>
        </w:rPr>
        <w:t>Share ownership</w:t>
      </w:r>
      <w:r w:rsidR="00613CA4">
        <w:rPr>
          <w:rStyle w:val="Strong"/>
          <w:rFonts w:ascii="Calibri" w:hAnsi="Calibri" w:cs="Arial"/>
          <w:sz w:val="22"/>
        </w:rPr>
        <w:t xml:space="preserve"> – </w:t>
      </w:r>
      <w:r w:rsidR="004F005D" w:rsidRPr="008B3729">
        <w:rPr>
          <w:rStyle w:val="Strong"/>
          <w:rFonts w:ascii="Calibri" w:hAnsi="Calibri" w:cs="Arial"/>
          <w:b w:val="0"/>
          <w:sz w:val="22"/>
        </w:rPr>
        <w:t xml:space="preserve">Companies should cultivate a culture of long-term share ownership, in order to allow all employees to </w:t>
      </w:r>
      <w:r w:rsidR="004F005D" w:rsidRPr="008B3729">
        <w:rPr>
          <w:rFonts w:ascii="Calibri" w:hAnsi="Calibri" w:cs="Arial"/>
          <w:sz w:val="22"/>
        </w:rPr>
        <w:t>share in the success of the company. Implementing an incentive sch</w:t>
      </w:r>
      <w:r w:rsidR="008B3729" w:rsidRPr="008B3729">
        <w:rPr>
          <w:rFonts w:ascii="Calibri" w:hAnsi="Calibri" w:cs="Arial"/>
          <w:sz w:val="22"/>
        </w:rPr>
        <w:t xml:space="preserve">eme </w:t>
      </w:r>
      <w:r w:rsidR="00E66226">
        <w:rPr>
          <w:rFonts w:ascii="Calibri" w:hAnsi="Calibri" w:cs="Arial"/>
          <w:sz w:val="22"/>
        </w:rPr>
        <w:t xml:space="preserve">for senior employees </w:t>
      </w:r>
      <w:r w:rsidR="008B3729" w:rsidRPr="008B3729">
        <w:rPr>
          <w:rFonts w:ascii="Calibri" w:hAnsi="Calibri" w:cs="Arial"/>
          <w:sz w:val="22"/>
        </w:rPr>
        <w:t>enables companies to take back an appropriate proportion of the shares in the event of financial misstatement or misconduct involving that person or early termination of employment.</w:t>
      </w:r>
    </w:p>
    <w:p w:rsidR="00923B08" w:rsidRPr="008B3729" w:rsidRDefault="00923B08" w:rsidP="00BD5AA5">
      <w:pPr>
        <w:pStyle w:val="ListParagraph"/>
        <w:numPr>
          <w:ilvl w:val="0"/>
          <w:numId w:val="8"/>
        </w:numPr>
        <w:spacing w:after="200" w:line="276" w:lineRule="auto"/>
        <w:ind w:left="567" w:hanging="284"/>
        <w:contextualSpacing w:val="0"/>
        <w:jc w:val="both"/>
        <w:rPr>
          <w:rStyle w:val="Strong"/>
          <w:rFonts w:ascii="Calibri" w:hAnsi="Calibri" w:cs="Arial"/>
          <w:b w:val="0"/>
          <w:sz w:val="22"/>
        </w:rPr>
      </w:pPr>
      <w:r w:rsidRPr="008B3729">
        <w:rPr>
          <w:rStyle w:val="Strong"/>
          <w:rFonts w:ascii="Calibri" w:hAnsi="Calibri" w:cs="Arial"/>
          <w:sz w:val="22"/>
        </w:rPr>
        <w:lastRenderedPageBreak/>
        <w:t>Long-term incentive awards</w:t>
      </w:r>
      <w:r w:rsidR="00613CA4">
        <w:rPr>
          <w:rStyle w:val="Strong"/>
          <w:rFonts w:ascii="Calibri" w:hAnsi="Calibri" w:cs="Arial"/>
          <w:sz w:val="22"/>
        </w:rPr>
        <w:t xml:space="preserve"> –</w:t>
      </w:r>
      <w:r w:rsidR="00DE3072" w:rsidRPr="008B3729">
        <w:rPr>
          <w:rStyle w:val="Strong"/>
          <w:rFonts w:ascii="Calibri" w:hAnsi="Calibri" w:cs="Arial"/>
          <w:b w:val="0"/>
          <w:sz w:val="22"/>
        </w:rPr>
        <w:t xml:space="preserve"> Companies should carefully consider the various advantages and disadvantages of share options and performance share plans before selecting the most appropriate arrangements for their business. </w:t>
      </w:r>
    </w:p>
    <w:p w:rsidR="008B3729" w:rsidRPr="008B3729" w:rsidRDefault="00613CA4" w:rsidP="00BD5AA5">
      <w:pPr>
        <w:pStyle w:val="ListParagraph"/>
        <w:numPr>
          <w:ilvl w:val="0"/>
          <w:numId w:val="8"/>
        </w:numPr>
        <w:spacing w:after="200" w:line="276" w:lineRule="auto"/>
        <w:ind w:left="567" w:hanging="284"/>
        <w:contextualSpacing w:val="0"/>
        <w:jc w:val="both"/>
        <w:rPr>
          <w:rFonts w:ascii="Calibri" w:hAnsi="Calibri" w:cs="Arial"/>
          <w:bCs/>
          <w:sz w:val="22"/>
        </w:rPr>
      </w:pPr>
      <w:r>
        <w:rPr>
          <w:rStyle w:val="Strong"/>
          <w:rFonts w:ascii="Calibri" w:hAnsi="Calibri" w:cs="Arial"/>
          <w:sz w:val="22"/>
        </w:rPr>
        <w:t>Base salary –</w:t>
      </w:r>
      <w:r w:rsidR="00DE3072" w:rsidRPr="008B3729">
        <w:rPr>
          <w:rStyle w:val="Strong"/>
          <w:rFonts w:ascii="Calibri" w:hAnsi="Calibri" w:cs="Arial"/>
          <w:b w:val="0"/>
          <w:sz w:val="22"/>
        </w:rPr>
        <w:t xml:space="preserve"> Remuneration committees should avoid</w:t>
      </w:r>
      <w:r w:rsidR="00DE3072" w:rsidRPr="008B3729">
        <w:rPr>
          <w:rFonts w:ascii="Calibri" w:hAnsi="Calibri" w:cs="Arial"/>
          <w:sz w:val="22"/>
        </w:rPr>
        <w:t xml:space="preserve"> overpayment in recruiting for any position and consider the multiplier effect on overall pay when other elements, such as bonuses, long-term incentives and pension contributions, are linked to base salary.</w:t>
      </w:r>
    </w:p>
    <w:p w:rsidR="00923B08" w:rsidRPr="008B3729" w:rsidRDefault="00923B08" w:rsidP="00BD5AA5">
      <w:pPr>
        <w:pStyle w:val="ListParagraph"/>
        <w:numPr>
          <w:ilvl w:val="0"/>
          <w:numId w:val="8"/>
        </w:numPr>
        <w:spacing w:after="200" w:line="276" w:lineRule="auto"/>
        <w:ind w:left="567" w:hanging="284"/>
        <w:contextualSpacing w:val="0"/>
        <w:jc w:val="both"/>
        <w:rPr>
          <w:rStyle w:val="Strong"/>
          <w:rFonts w:ascii="Calibri" w:hAnsi="Calibri" w:cs="Arial"/>
          <w:b w:val="0"/>
          <w:sz w:val="22"/>
        </w:rPr>
      </w:pPr>
      <w:r w:rsidRPr="008B3729">
        <w:rPr>
          <w:rStyle w:val="Strong"/>
          <w:rFonts w:ascii="Calibri" w:hAnsi="Calibri" w:cs="Arial"/>
          <w:sz w:val="22"/>
        </w:rPr>
        <w:t>Communicating with shareholders</w:t>
      </w:r>
      <w:r w:rsidR="00613CA4">
        <w:rPr>
          <w:rStyle w:val="Strong"/>
          <w:rFonts w:ascii="Calibri" w:hAnsi="Calibri" w:cs="Arial"/>
          <w:sz w:val="22"/>
        </w:rPr>
        <w:t xml:space="preserve"> –</w:t>
      </w:r>
      <w:r w:rsidR="00DE3072" w:rsidRPr="008B3729">
        <w:rPr>
          <w:rStyle w:val="Strong"/>
          <w:rFonts w:ascii="Calibri" w:hAnsi="Calibri" w:cs="Arial"/>
          <w:b w:val="0"/>
          <w:sz w:val="22"/>
        </w:rPr>
        <w:t xml:space="preserve"> Companies should collect feedback from their top 5-20 shareholders when establishing or renew</w:t>
      </w:r>
      <w:r w:rsidR="00DE3072" w:rsidRPr="008B3729">
        <w:rPr>
          <w:rFonts w:ascii="Calibri" w:hAnsi="Calibri" w:cs="Arial"/>
          <w:sz w:val="22"/>
        </w:rPr>
        <w:t xml:space="preserve"> a share-based incentive plan.</w:t>
      </w:r>
    </w:p>
    <w:p w:rsidR="00C00869" w:rsidRDefault="00C00869" w:rsidP="00BD5AA5">
      <w:pPr>
        <w:pStyle w:val="ListParagraph"/>
        <w:numPr>
          <w:ilvl w:val="0"/>
          <w:numId w:val="9"/>
        </w:numPr>
        <w:spacing w:after="200" w:line="276" w:lineRule="auto"/>
        <w:ind w:left="426" w:hanging="284"/>
        <w:contextualSpacing w:val="0"/>
        <w:jc w:val="both"/>
        <w:rPr>
          <w:rStyle w:val="Strong"/>
          <w:rFonts w:ascii="Calibri" w:hAnsi="Calibri"/>
          <w:sz w:val="22"/>
          <w:u w:val="single"/>
        </w:rPr>
      </w:pPr>
      <w:r w:rsidRPr="008B3729">
        <w:rPr>
          <w:rStyle w:val="Strong"/>
          <w:rFonts w:ascii="Calibri" w:hAnsi="Calibri"/>
          <w:sz w:val="22"/>
          <w:u w:val="single"/>
        </w:rPr>
        <w:t>The QCA Corporate Governance Code for Small and Mid-Size Quoted Companies</w:t>
      </w:r>
      <w:r w:rsidRPr="008B3729">
        <w:rPr>
          <w:rStyle w:val="EndnoteReference"/>
          <w:rFonts w:ascii="Calibri" w:hAnsi="Calibri"/>
          <w:bCs/>
          <w:sz w:val="22"/>
          <w:u w:val="single"/>
        </w:rPr>
        <w:endnoteReference w:id="2"/>
      </w:r>
    </w:p>
    <w:p w:rsidR="00613CA4" w:rsidRPr="00613CA4" w:rsidRDefault="00613CA4" w:rsidP="00BD5AA5">
      <w:pPr>
        <w:jc w:val="both"/>
        <w:rPr>
          <w:rStyle w:val="Strong"/>
          <w:rFonts w:ascii="Calibri" w:hAnsi="Calibri" w:cs="Arial"/>
          <w:b w:val="0"/>
        </w:rPr>
      </w:pPr>
      <w:r>
        <w:rPr>
          <w:rStyle w:val="Strong"/>
          <w:rFonts w:ascii="Calibri" w:hAnsi="Calibri" w:cs="Arial"/>
          <w:b w:val="0"/>
        </w:rPr>
        <w:t xml:space="preserve">As the </w:t>
      </w:r>
      <w:r w:rsidRPr="00613CA4">
        <w:rPr>
          <w:rStyle w:val="Strong"/>
          <w:rFonts w:ascii="Calibri" w:hAnsi="Calibri" w:cs="Arial"/>
          <w:b w:val="0"/>
        </w:rPr>
        <w:t>industry standard for growing companies which are not obliged to apply the UK Corporate Governance Code</w:t>
      </w:r>
      <w:r>
        <w:rPr>
          <w:rStyle w:val="Strong"/>
          <w:rFonts w:ascii="Calibri" w:hAnsi="Calibri" w:cs="Arial"/>
          <w:b w:val="0"/>
        </w:rPr>
        <w:t>, the</w:t>
      </w:r>
      <w:r w:rsidRPr="00613CA4">
        <w:rPr>
          <w:rStyle w:val="Strong"/>
          <w:rFonts w:ascii="Calibri" w:hAnsi="Calibri" w:cs="Arial"/>
          <w:b w:val="0"/>
        </w:rPr>
        <w:t xml:space="preserve"> QCA Code helps companies put into place appropriate corporate governance arrangements</w:t>
      </w:r>
      <w:r>
        <w:rPr>
          <w:rStyle w:val="Strong"/>
          <w:rFonts w:ascii="Calibri" w:hAnsi="Calibri" w:cs="Arial"/>
          <w:b w:val="0"/>
        </w:rPr>
        <w:t xml:space="preserve"> and </w:t>
      </w:r>
      <w:r w:rsidRPr="00613CA4">
        <w:rPr>
          <w:rStyle w:val="Strong"/>
          <w:rFonts w:ascii="Calibri" w:hAnsi="Calibri" w:cs="Arial"/>
          <w:b w:val="0"/>
        </w:rPr>
        <w:t>encourages positive engagement between companies and shareholders.</w:t>
      </w:r>
      <w:r>
        <w:rPr>
          <w:rStyle w:val="Strong"/>
          <w:rFonts w:ascii="Calibri" w:hAnsi="Calibri" w:cs="Arial"/>
          <w:b w:val="0"/>
        </w:rPr>
        <w:t xml:space="preserve"> It includes the following advice:</w:t>
      </w:r>
    </w:p>
    <w:p w:rsidR="00F06E74" w:rsidRPr="00BD5AA5" w:rsidRDefault="00923B08" w:rsidP="00BD5AA5">
      <w:pPr>
        <w:pStyle w:val="ListParagraph"/>
        <w:numPr>
          <w:ilvl w:val="0"/>
          <w:numId w:val="6"/>
        </w:numPr>
        <w:spacing w:after="200" w:line="276" w:lineRule="auto"/>
        <w:ind w:left="567" w:hanging="284"/>
        <w:contextualSpacing w:val="0"/>
        <w:jc w:val="both"/>
        <w:rPr>
          <w:rFonts w:ascii="Calibri" w:hAnsi="Calibri"/>
          <w:bCs/>
          <w:sz w:val="22"/>
        </w:rPr>
      </w:pPr>
      <w:r w:rsidRPr="00BC3F0D">
        <w:rPr>
          <w:rStyle w:val="Strong"/>
          <w:rFonts w:ascii="Calibri" w:hAnsi="Calibri"/>
          <w:sz w:val="22"/>
        </w:rPr>
        <w:t>Independence and remuneration in shares</w:t>
      </w:r>
      <w:r w:rsidR="00613CA4">
        <w:rPr>
          <w:rStyle w:val="Strong"/>
          <w:rFonts w:ascii="Calibri" w:hAnsi="Calibri"/>
          <w:sz w:val="22"/>
        </w:rPr>
        <w:t xml:space="preserve"> –</w:t>
      </w:r>
      <w:r w:rsidR="00724EFE" w:rsidRPr="00BC3F0D">
        <w:rPr>
          <w:rStyle w:val="Strong"/>
          <w:rFonts w:ascii="Calibri" w:hAnsi="Calibri"/>
          <w:b w:val="0"/>
          <w:sz w:val="22"/>
        </w:rPr>
        <w:t xml:space="preserve"> Paying a director wholly or partly in shares </w:t>
      </w:r>
      <w:r w:rsidR="00724EFE" w:rsidRPr="00BC3F0D">
        <w:rPr>
          <w:rFonts w:ascii="Calibri" w:hAnsi="Calibri" w:cs="Arial"/>
          <w:color w:val="000000"/>
          <w:sz w:val="22"/>
        </w:rPr>
        <w:t>should be supported by institutional shareholders provided that there are restrictions on how quickly those shares can be disposed of.</w:t>
      </w:r>
    </w:p>
    <w:p w:rsidR="008B3729" w:rsidRDefault="00F06E74" w:rsidP="00F06E74">
      <w:pPr>
        <w:spacing w:after="0"/>
        <w:jc w:val="both"/>
        <w:rPr>
          <w:b/>
          <w:i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BC4BAA" wp14:editId="2AAF86D6">
                <wp:simplePos x="0" y="0"/>
                <wp:positionH relativeFrom="column">
                  <wp:posOffset>15240</wp:posOffset>
                </wp:positionH>
                <wp:positionV relativeFrom="paragraph">
                  <wp:posOffset>17632</wp:posOffset>
                </wp:positionV>
                <wp:extent cx="6273165" cy="1403350"/>
                <wp:effectExtent l="19050" t="19050" r="13335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3165" cy="1403350"/>
                        </a:xfrm>
                        <a:prstGeom prst="rect">
                          <a:avLst/>
                        </a:prstGeom>
                        <a:ln w="3810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3729" w:rsidRDefault="008B3729" w:rsidP="008B3729">
                            <w:pPr>
                              <w:spacing w:after="0"/>
                              <w:jc w:val="both"/>
                              <w:rPr>
                                <w:rFonts w:ascii="Calibri" w:hAnsi="Calibri"/>
                                <w:b/>
                                <w:i/>
                              </w:rPr>
                            </w:pPr>
                          </w:p>
                          <w:p w:rsidR="008B3729" w:rsidRPr="008B3729" w:rsidRDefault="008B3729" w:rsidP="008B3729">
                            <w:pPr>
                              <w:jc w:val="both"/>
                              <w:rPr>
                                <w:rFonts w:ascii="Calibri" w:hAnsi="Calibri"/>
                                <w:b/>
                                <w:i/>
                              </w:rPr>
                            </w:pPr>
                            <w:r w:rsidRPr="008B3729">
                              <w:rPr>
                                <w:rFonts w:ascii="Calibri" w:hAnsi="Calibri"/>
                                <w:b/>
                                <w:i/>
                              </w:rPr>
                              <w:t xml:space="preserve">What </w:t>
                            </w:r>
                            <w:r w:rsidR="007E1481" w:rsidRPr="008B3729">
                              <w:rPr>
                                <w:rFonts w:ascii="Calibri" w:hAnsi="Calibri"/>
                                <w:b/>
                                <w:i/>
                              </w:rPr>
                              <w:t xml:space="preserve">should </w:t>
                            </w:r>
                            <w:r w:rsidRPr="008B3729">
                              <w:rPr>
                                <w:rFonts w:ascii="Calibri" w:hAnsi="Calibri"/>
                                <w:b/>
                                <w:i/>
                              </w:rPr>
                              <w:t>your company consider before issuing nil-cost option shares to employees and directors</w:t>
                            </w:r>
                            <w:r w:rsidR="007E1481">
                              <w:rPr>
                                <w:rFonts w:ascii="Calibri" w:hAnsi="Calibri"/>
                                <w:b/>
                                <w:i/>
                              </w:rPr>
                              <w:t>?</w:t>
                            </w:r>
                          </w:p>
                          <w:p w:rsidR="007E1481" w:rsidRDefault="008B3729" w:rsidP="008B3729">
                            <w:pPr>
                              <w:jc w:val="both"/>
                              <w:rPr>
                                <w:rFonts w:ascii="Calibri" w:eastAsia="Times New Roman" w:hAnsi="Calibri" w:cs="Arial"/>
                                <w:color w:val="000000"/>
                                <w:lang w:eastAsia="en-GB"/>
                              </w:rPr>
                            </w:pPr>
                            <w:r w:rsidRPr="008B3729">
                              <w:rPr>
                                <w:rFonts w:ascii="Calibri" w:hAnsi="Calibri"/>
                              </w:rPr>
                              <w:t>We advise small and mid-size quoted companies to consult with shareholders</w:t>
                            </w:r>
                            <w:r w:rsidR="007E1481">
                              <w:rPr>
                                <w:rFonts w:ascii="Calibri" w:hAnsi="Calibri"/>
                              </w:rPr>
                              <w:t xml:space="preserve"> – either informally or formally – </w:t>
                            </w:r>
                            <w:r w:rsidRPr="008B3729">
                              <w:rPr>
                                <w:rFonts w:ascii="Calibri" w:hAnsi="Calibri"/>
                              </w:rPr>
                              <w:t>and</w:t>
                            </w:r>
                            <w:r w:rsidR="0075162C">
                              <w:rPr>
                                <w:rFonts w:ascii="Calibri" w:hAnsi="Calibri"/>
                              </w:rPr>
                              <w:t>, if appropriate,</w:t>
                            </w:r>
                            <w:r w:rsidRPr="008B3729">
                              <w:rPr>
                                <w:rFonts w:ascii="Calibri" w:hAnsi="Calibri"/>
                              </w:rPr>
                              <w:t xml:space="preserve"> seek </w:t>
                            </w:r>
                            <w:r w:rsidRPr="008B3729">
                              <w:rPr>
                                <w:rFonts w:ascii="Calibri" w:eastAsia="Times New Roman" w:hAnsi="Calibri" w:cs="Arial"/>
                                <w:color w:val="000000"/>
                                <w:lang w:eastAsia="en-GB"/>
                              </w:rPr>
                              <w:t>approval for </w:t>
                            </w:r>
                            <w:r w:rsidR="00F06E74">
                              <w:rPr>
                                <w:rFonts w:ascii="Calibri" w:eastAsia="Times New Roman" w:hAnsi="Calibri" w:cs="Arial"/>
                                <w:color w:val="000000"/>
                                <w:lang w:eastAsia="en-GB"/>
                              </w:rPr>
                              <w:t>all</w:t>
                            </w:r>
                            <w:r w:rsidRPr="008B3729">
                              <w:rPr>
                                <w:rFonts w:ascii="Calibri" w:eastAsia="Times New Roman" w:hAnsi="Calibri" w:cs="Arial"/>
                                <w:color w:val="000000"/>
                                <w:lang w:eastAsia="en-GB"/>
                              </w:rPr>
                              <w:t> new share-based remuneration arrangement involving the issue of new shares</w:t>
                            </w:r>
                            <w:r w:rsidR="0075162C">
                              <w:rPr>
                                <w:rFonts w:ascii="Calibri" w:eastAsia="Times New Roman" w:hAnsi="Calibri" w:cs="Arial"/>
                                <w:color w:val="000000"/>
                                <w:lang w:eastAsia="en-GB"/>
                              </w:rPr>
                              <w:t xml:space="preserve"> at the next available opportunity</w:t>
                            </w:r>
                            <w:r w:rsidRPr="008B3729">
                              <w:rPr>
                                <w:rFonts w:ascii="Calibri" w:eastAsia="Times New Roman" w:hAnsi="Calibri" w:cs="Arial"/>
                                <w:color w:val="000000"/>
                                <w:lang w:eastAsia="en-GB"/>
                              </w:rPr>
                              <w:t>.</w:t>
                            </w:r>
                          </w:p>
                          <w:p w:rsidR="007E1481" w:rsidRPr="008B3729" w:rsidRDefault="007E1481" w:rsidP="008B3729">
                            <w:pPr>
                              <w:jc w:val="both"/>
                              <w:rPr>
                                <w:rFonts w:ascii="Calibri" w:eastAsia="Times New Roman" w:hAnsi="Calibri" w:cs="Arial"/>
                                <w:color w:val="000000"/>
                                <w:lang w:eastAsia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.2pt;margin-top:1.4pt;width:493.95pt;height:1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" fillcolor="white [3201]" strokecolor="black [3200]" strokeweight="3pt">
                <v:textbox>
                  <w:txbxContent>
                    <w:p w:rsidR="008B3729" w:rsidRDefault="008B3729" w:rsidP="008B3729">
                      <w:pPr>
                        <w:spacing w:after="0"/>
                        <w:jc w:val="both"/>
                        <w:rPr>
                          <w:rFonts w:ascii="Calibri" w:hAnsi="Calibri"/>
                          <w:b/>
                          <w:i/>
                        </w:rPr>
                      </w:pPr>
                    </w:p>
                    <w:p w:rsidR="008B3729" w:rsidRPr="008B3729" w:rsidRDefault="008B3729" w:rsidP="008B3729">
                      <w:pPr>
                        <w:jc w:val="both"/>
                        <w:rPr>
                          <w:rFonts w:ascii="Calibri" w:hAnsi="Calibri"/>
                          <w:b/>
                          <w:i/>
                        </w:rPr>
                      </w:pPr>
                      <w:r w:rsidRPr="008B3729">
                        <w:rPr>
                          <w:rFonts w:ascii="Calibri" w:hAnsi="Calibri"/>
                          <w:b/>
                          <w:i/>
                        </w:rPr>
                        <w:t xml:space="preserve">What </w:t>
                      </w:r>
                      <w:r w:rsidR="007E1481" w:rsidRPr="008B3729">
                        <w:rPr>
                          <w:rFonts w:ascii="Calibri" w:hAnsi="Calibri"/>
                          <w:b/>
                          <w:i/>
                        </w:rPr>
                        <w:t xml:space="preserve">should </w:t>
                      </w:r>
                      <w:r w:rsidRPr="008B3729">
                        <w:rPr>
                          <w:rFonts w:ascii="Calibri" w:hAnsi="Calibri"/>
                          <w:b/>
                          <w:i/>
                        </w:rPr>
                        <w:t>your company consider before issuing nil-cost option shares to employees and directors</w:t>
                      </w:r>
                      <w:r w:rsidR="007E1481">
                        <w:rPr>
                          <w:rFonts w:ascii="Calibri" w:hAnsi="Calibri"/>
                          <w:b/>
                          <w:i/>
                        </w:rPr>
                        <w:t>?</w:t>
                      </w:r>
                    </w:p>
                    <w:p w:rsidR="007E1481" w:rsidRDefault="008B3729" w:rsidP="008B3729">
                      <w:pPr>
                        <w:jc w:val="both"/>
                        <w:rPr>
                          <w:rFonts w:ascii="Calibri" w:eastAsia="Times New Roman" w:hAnsi="Calibri" w:cs="Arial"/>
                          <w:color w:val="000000"/>
                          <w:lang w:eastAsia="en-GB"/>
                        </w:rPr>
                      </w:pPr>
                      <w:r w:rsidRPr="008B3729">
                        <w:rPr>
                          <w:rFonts w:ascii="Calibri" w:hAnsi="Calibri"/>
                        </w:rPr>
                        <w:t>We advise small and mid-size quoted companies to consult with shareholders</w:t>
                      </w:r>
                      <w:r w:rsidR="007E1481">
                        <w:rPr>
                          <w:rFonts w:ascii="Calibri" w:hAnsi="Calibri"/>
                        </w:rPr>
                        <w:t xml:space="preserve"> – either informally or formally – </w:t>
                      </w:r>
                      <w:r w:rsidRPr="008B3729">
                        <w:rPr>
                          <w:rFonts w:ascii="Calibri" w:hAnsi="Calibri"/>
                        </w:rPr>
                        <w:t>and</w:t>
                      </w:r>
                      <w:r w:rsidR="0075162C">
                        <w:rPr>
                          <w:rFonts w:ascii="Calibri" w:hAnsi="Calibri"/>
                        </w:rPr>
                        <w:t>, if appropriate,</w:t>
                      </w:r>
                      <w:r w:rsidRPr="008B3729">
                        <w:rPr>
                          <w:rFonts w:ascii="Calibri" w:hAnsi="Calibri"/>
                        </w:rPr>
                        <w:t xml:space="preserve"> seek </w:t>
                      </w:r>
                      <w:r w:rsidRPr="008B3729">
                        <w:rPr>
                          <w:rFonts w:ascii="Calibri" w:eastAsia="Times New Roman" w:hAnsi="Calibri" w:cs="Arial"/>
                          <w:color w:val="000000"/>
                          <w:lang w:eastAsia="en-GB"/>
                        </w:rPr>
                        <w:t>approval for </w:t>
                      </w:r>
                      <w:r w:rsidR="00F06E74">
                        <w:rPr>
                          <w:rFonts w:ascii="Calibri" w:eastAsia="Times New Roman" w:hAnsi="Calibri" w:cs="Arial"/>
                          <w:color w:val="000000"/>
                          <w:lang w:eastAsia="en-GB"/>
                        </w:rPr>
                        <w:t>all</w:t>
                      </w:r>
                      <w:r w:rsidRPr="008B3729">
                        <w:rPr>
                          <w:rFonts w:ascii="Calibri" w:eastAsia="Times New Roman" w:hAnsi="Calibri" w:cs="Arial"/>
                          <w:color w:val="000000"/>
                          <w:lang w:eastAsia="en-GB"/>
                        </w:rPr>
                        <w:t> new share-based remuneration arrangement involving the issue of new shares</w:t>
                      </w:r>
                      <w:r w:rsidR="0075162C">
                        <w:rPr>
                          <w:rFonts w:ascii="Calibri" w:eastAsia="Times New Roman" w:hAnsi="Calibri" w:cs="Arial"/>
                          <w:color w:val="000000"/>
                          <w:lang w:eastAsia="en-GB"/>
                        </w:rPr>
                        <w:t xml:space="preserve"> at the next available opportunity</w:t>
                      </w:r>
                      <w:r w:rsidRPr="008B3729">
                        <w:rPr>
                          <w:rFonts w:ascii="Calibri" w:eastAsia="Times New Roman" w:hAnsi="Calibri" w:cs="Arial"/>
                          <w:color w:val="000000"/>
                          <w:lang w:eastAsia="en-GB"/>
                        </w:rPr>
                        <w:t>.</w:t>
                      </w:r>
                    </w:p>
                    <w:p w:rsidR="007E1481" w:rsidRPr="008B3729" w:rsidRDefault="007E1481" w:rsidP="008B3729">
                      <w:pPr>
                        <w:jc w:val="both"/>
                        <w:rPr>
                          <w:rFonts w:ascii="Calibri" w:eastAsia="Times New Roman" w:hAnsi="Calibri" w:cs="Arial"/>
                          <w:color w:val="000000"/>
                          <w:lang w:eastAsia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B3729" w:rsidRDefault="008B3729" w:rsidP="00BC3F0D">
      <w:pPr>
        <w:jc w:val="both"/>
        <w:rPr>
          <w:b/>
          <w:i/>
        </w:rPr>
      </w:pPr>
    </w:p>
    <w:p w:rsidR="008B3729" w:rsidRDefault="008B3729" w:rsidP="00BC3F0D">
      <w:pPr>
        <w:jc w:val="both"/>
        <w:rPr>
          <w:rFonts w:ascii="Calibri" w:eastAsia="Times New Roman" w:hAnsi="Calibri" w:cs="Arial"/>
          <w:color w:val="000000"/>
          <w:lang w:eastAsia="en-GB"/>
        </w:rPr>
      </w:pPr>
    </w:p>
    <w:p w:rsidR="008B3729" w:rsidRDefault="008B3729" w:rsidP="00BC3F0D">
      <w:pPr>
        <w:jc w:val="both"/>
        <w:rPr>
          <w:rFonts w:ascii="Calibri" w:eastAsia="Times New Roman" w:hAnsi="Calibri" w:cs="Arial"/>
          <w:color w:val="000000"/>
          <w:lang w:eastAsia="en-GB"/>
        </w:rPr>
      </w:pPr>
    </w:p>
    <w:p w:rsidR="008B3729" w:rsidRDefault="008B3729" w:rsidP="00BC3F0D">
      <w:pPr>
        <w:jc w:val="both"/>
        <w:rPr>
          <w:rFonts w:ascii="Calibri" w:eastAsia="Times New Roman" w:hAnsi="Calibri" w:cs="Arial"/>
          <w:color w:val="000000"/>
          <w:lang w:eastAsia="en-GB"/>
        </w:rPr>
      </w:pPr>
    </w:p>
    <w:p w:rsidR="00BD5AA5" w:rsidRPr="00BD5AA5" w:rsidRDefault="00BD5AA5" w:rsidP="00BD5AA5">
      <w:pPr>
        <w:spacing w:after="0"/>
        <w:jc w:val="both"/>
        <w:rPr>
          <w:rFonts w:ascii="Calibri" w:eastAsia="Times New Roman" w:hAnsi="Calibri" w:cs="Arial"/>
          <w:color w:val="000000"/>
          <w:lang w:eastAsia="en-GB"/>
        </w:rPr>
      </w:pPr>
    </w:p>
    <w:p w:rsidR="00E66226" w:rsidRDefault="00E66226" w:rsidP="00BC3F0D">
      <w:pPr>
        <w:jc w:val="both"/>
        <w:rPr>
          <w:rFonts w:ascii="Calibri" w:eastAsia="Times New Roman" w:hAnsi="Calibri" w:cs="Arial"/>
          <w:i/>
          <w:color w:val="000000"/>
          <w:lang w:eastAsia="en-GB"/>
        </w:rPr>
      </w:pPr>
      <w:r>
        <w:rPr>
          <w:rFonts w:ascii="Calibri" w:eastAsia="Times New Roman" w:hAnsi="Calibri" w:cs="Arial"/>
          <w:i/>
          <w:color w:val="000000"/>
          <w:lang w:eastAsia="en-GB"/>
        </w:rPr>
        <w:t xml:space="preserve">For more information please contact Callum Anderson at </w:t>
      </w:r>
      <w:hyperlink r:id="rId10" w:history="1">
        <w:r w:rsidRPr="00CC18A3">
          <w:rPr>
            <w:rStyle w:val="Hyperlink"/>
            <w:rFonts w:ascii="Calibri" w:eastAsia="Times New Roman" w:hAnsi="Calibri" w:cs="Arial"/>
            <w:i/>
            <w:lang w:eastAsia="en-GB"/>
          </w:rPr>
          <w:t>callum.anderson@theqca.com</w:t>
        </w:r>
      </w:hyperlink>
      <w:r>
        <w:rPr>
          <w:rFonts w:ascii="Calibri" w:eastAsia="Times New Roman" w:hAnsi="Calibri" w:cs="Arial"/>
          <w:i/>
          <w:color w:val="000000"/>
          <w:lang w:eastAsia="en-GB"/>
        </w:rPr>
        <w:t xml:space="preserve"> or 020 7600 3745.</w:t>
      </w:r>
    </w:p>
    <w:p w:rsidR="00E66226" w:rsidRPr="00BD5AA5" w:rsidRDefault="00E66226" w:rsidP="00E66226">
      <w:pPr>
        <w:spacing w:after="0"/>
        <w:jc w:val="both"/>
        <w:rPr>
          <w:rFonts w:ascii="Calibri" w:eastAsia="Times New Roman" w:hAnsi="Calibri" w:cs="Arial"/>
          <w:color w:val="000000"/>
          <w:lang w:eastAsia="en-GB"/>
        </w:rPr>
      </w:pPr>
    </w:p>
    <w:sectPr w:rsidR="00E66226" w:rsidRPr="00BD5AA5" w:rsidSect="00C0086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1F5" w:rsidRDefault="004B71F5" w:rsidP="004B71F5">
      <w:pPr>
        <w:spacing w:after="0" w:line="240" w:lineRule="auto"/>
      </w:pPr>
      <w:r>
        <w:separator/>
      </w:r>
    </w:p>
  </w:endnote>
  <w:endnote w:type="continuationSeparator" w:id="0">
    <w:p w:rsidR="004B71F5" w:rsidRDefault="004B71F5" w:rsidP="004B71F5">
      <w:pPr>
        <w:spacing w:after="0" w:line="240" w:lineRule="auto"/>
      </w:pPr>
      <w:r>
        <w:continuationSeparator/>
      </w:r>
    </w:p>
  </w:endnote>
  <w:endnote w:id="1">
    <w:p w:rsidR="00C00869" w:rsidRPr="00C00869" w:rsidRDefault="00C00869" w:rsidP="00C00869">
      <w:pPr>
        <w:pStyle w:val="EndnoteText"/>
        <w:spacing w:after="200"/>
        <w:rPr>
          <w:rFonts w:ascii="Calibri" w:hAnsi="Calibri"/>
          <w:sz w:val="18"/>
        </w:rPr>
      </w:pPr>
      <w:r w:rsidRPr="00C00869">
        <w:rPr>
          <w:rStyle w:val="EndnoteReference"/>
          <w:rFonts w:ascii="Calibri" w:hAnsi="Calibri"/>
          <w:sz w:val="18"/>
        </w:rPr>
        <w:endnoteRef/>
      </w:r>
      <w:r w:rsidRPr="00C00869">
        <w:rPr>
          <w:rFonts w:ascii="Calibri" w:hAnsi="Calibri"/>
          <w:sz w:val="18"/>
        </w:rPr>
        <w:t xml:space="preserve"> </w:t>
      </w:r>
      <w:hyperlink r:id="rId1" w:history="1">
        <w:r w:rsidRPr="00C00869">
          <w:rPr>
            <w:rStyle w:val="Hyperlink"/>
            <w:rFonts w:ascii="Calibri" w:hAnsi="Calibri"/>
            <w:sz w:val="18"/>
          </w:rPr>
          <w:t>http://www.theqca.com/shop/guides/118376/remuneration-committee-guide-for-small-and-midsize-quoted-companies-2016-downloadable-pdf.thtml</w:t>
        </w:r>
      </w:hyperlink>
      <w:r w:rsidRPr="00C00869">
        <w:rPr>
          <w:rFonts w:ascii="Calibri" w:hAnsi="Calibri"/>
          <w:sz w:val="18"/>
        </w:rPr>
        <w:t xml:space="preserve"> </w:t>
      </w:r>
    </w:p>
  </w:endnote>
  <w:endnote w:id="2">
    <w:p w:rsidR="00C00869" w:rsidRPr="00C00869" w:rsidRDefault="00C00869" w:rsidP="00C00869">
      <w:pPr>
        <w:pStyle w:val="EndnoteText"/>
        <w:spacing w:after="200"/>
        <w:rPr>
          <w:rFonts w:ascii="Calibri" w:hAnsi="Calibri"/>
          <w:sz w:val="18"/>
        </w:rPr>
      </w:pPr>
      <w:r w:rsidRPr="00C00869">
        <w:rPr>
          <w:rStyle w:val="EndnoteReference"/>
          <w:rFonts w:ascii="Calibri" w:hAnsi="Calibri"/>
          <w:sz w:val="18"/>
        </w:rPr>
        <w:endnoteRef/>
      </w:r>
      <w:r w:rsidRPr="00C00869">
        <w:rPr>
          <w:rFonts w:ascii="Calibri" w:hAnsi="Calibri"/>
          <w:sz w:val="18"/>
        </w:rPr>
        <w:t xml:space="preserve"> </w:t>
      </w:r>
      <w:hyperlink r:id="rId2" w:history="1">
        <w:r w:rsidRPr="00C00869">
          <w:rPr>
            <w:rStyle w:val="Hyperlink"/>
            <w:rFonts w:ascii="Calibri" w:hAnsi="Calibri"/>
            <w:sz w:val="18"/>
          </w:rPr>
          <w:t>http://www.theqca.com/shop/guides/86557/corporate-governance-code-for-small-and-midsize-quoted-companies-2013-downloadable-pdf.thtml</w:t>
        </w:r>
      </w:hyperlink>
      <w:r w:rsidRPr="00C00869">
        <w:rPr>
          <w:rFonts w:ascii="Calibri" w:hAnsi="Calibri"/>
          <w:sz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1F5" w:rsidRDefault="004B71F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1F5" w:rsidRDefault="004B71F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1F5" w:rsidRDefault="004B71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1F5" w:rsidRDefault="004B71F5" w:rsidP="004B71F5">
      <w:pPr>
        <w:spacing w:after="0" w:line="240" w:lineRule="auto"/>
      </w:pPr>
      <w:r>
        <w:separator/>
      </w:r>
    </w:p>
  </w:footnote>
  <w:footnote w:type="continuationSeparator" w:id="0">
    <w:p w:rsidR="004B71F5" w:rsidRDefault="004B71F5" w:rsidP="004B71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1F5" w:rsidRDefault="004B71F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76693866"/>
      <w:docPartObj>
        <w:docPartGallery w:val="Watermarks"/>
        <w:docPartUnique/>
      </w:docPartObj>
    </w:sdtPr>
    <w:sdtEndPr/>
    <w:sdtContent>
      <w:p w:rsidR="004B71F5" w:rsidRDefault="00BD5AA5">
        <w:pPr>
          <w:pStyle w:val="Header"/>
        </w:pPr>
        <w:r>
          <w:rPr>
            <w:noProof/>
            <w:lang w:val="en-US"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1F5" w:rsidRDefault="004B71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E6514"/>
    <w:multiLevelType w:val="hybridMultilevel"/>
    <w:tmpl w:val="B1548B70"/>
    <w:lvl w:ilvl="0" w:tplc="E4B46EA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D797D"/>
    <w:multiLevelType w:val="hybridMultilevel"/>
    <w:tmpl w:val="F248796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47051"/>
    <w:multiLevelType w:val="hybridMultilevel"/>
    <w:tmpl w:val="1F6CE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E67992"/>
    <w:multiLevelType w:val="hybridMultilevel"/>
    <w:tmpl w:val="490CC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454CDE"/>
    <w:multiLevelType w:val="hybridMultilevel"/>
    <w:tmpl w:val="294238A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023F50"/>
    <w:multiLevelType w:val="hybridMultilevel"/>
    <w:tmpl w:val="71F4273C"/>
    <w:lvl w:ilvl="0" w:tplc="24AC3E1A">
      <w:start w:val="1"/>
      <w:numFmt w:val="upperRoman"/>
      <w:lvlText w:val="%1."/>
      <w:lvlJc w:val="right"/>
      <w:pPr>
        <w:ind w:left="720" w:hanging="360"/>
      </w:pPr>
      <w:rPr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56463E"/>
    <w:multiLevelType w:val="hybridMultilevel"/>
    <w:tmpl w:val="1F22DD74"/>
    <w:lvl w:ilvl="0" w:tplc="453A2898">
      <w:start w:val="1"/>
      <w:numFmt w:val="upperRoman"/>
      <w:lvlText w:val="%1."/>
      <w:lvlJc w:val="right"/>
      <w:pPr>
        <w:ind w:left="720" w:hanging="360"/>
      </w:pPr>
      <w:rPr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350E6F"/>
    <w:multiLevelType w:val="hybridMultilevel"/>
    <w:tmpl w:val="C7A8185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A71FB2"/>
    <w:multiLevelType w:val="hybridMultilevel"/>
    <w:tmpl w:val="5880A74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0"/>
  </w:num>
  <w:num w:numId="5">
    <w:abstractNumId w:val="1"/>
  </w:num>
  <w:num w:numId="6">
    <w:abstractNumId w:val="8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1F5"/>
    <w:rsid w:val="000C554A"/>
    <w:rsid w:val="00112698"/>
    <w:rsid w:val="001B4029"/>
    <w:rsid w:val="001F6208"/>
    <w:rsid w:val="00304B57"/>
    <w:rsid w:val="003528AC"/>
    <w:rsid w:val="00390398"/>
    <w:rsid w:val="004B71F5"/>
    <w:rsid w:val="004F005D"/>
    <w:rsid w:val="00544399"/>
    <w:rsid w:val="00613CA4"/>
    <w:rsid w:val="00724EFE"/>
    <w:rsid w:val="0075162C"/>
    <w:rsid w:val="007E1481"/>
    <w:rsid w:val="007F54C5"/>
    <w:rsid w:val="00894F78"/>
    <w:rsid w:val="008B3729"/>
    <w:rsid w:val="00923B08"/>
    <w:rsid w:val="00972688"/>
    <w:rsid w:val="00A015C2"/>
    <w:rsid w:val="00AC31EC"/>
    <w:rsid w:val="00B05FA1"/>
    <w:rsid w:val="00BC3F0D"/>
    <w:rsid w:val="00BD5AA5"/>
    <w:rsid w:val="00C00869"/>
    <w:rsid w:val="00DE3072"/>
    <w:rsid w:val="00E66226"/>
    <w:rsid w:val="00EC1694"/>
    <w:rsid w:val="00F0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7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1F5"/>
  </w:style>
  <w:style w:type="paragraph" w:styleId="Footer">
    <w:name w:val="footer"/>
    <w:basedOn w:val="Normal"/>
    <w:link w:val="FooterChar"/>
    <w:uiPriority w:val="99"/>
    <w:unhideWhenUsed/>
    <w:rsid w:val="004B7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1F5"/>
  </w:style>
  <w:style w:type="character" w:styleId="Strong">
    <w:name w:val="Strong"/>
    <w:basedOn w:val="DefaultParagraphFont"/>
    <w:uiPriority w:val="22"/>
    <w:qFormat/>
    <w:rsid w:val="00390398"/>
    <w:rPr>
      <w:b/>
      <w:bCs/>
    </w:rPr>
  </w:style>
  <w:style w:type="paragraph" w:styleId="ListParagraph">
    <w:name w:val="List Paragraph"/>
    <w:basedOn w:val="Normal"/>
    <w:uiPriority w:val="34"/>
    <w:qFormat/>
    <w:rsid w:val="00390398"/>
    <w:pPr>
      <w:spacing w:after="0" w:line="240" w:lineRule="auto"/>
      <w:ind w:left="720"/>
      <w:contextualSpacing/>
    </w:pPr>
    <w:rPr>
      <w:rFonts w:ascii="Arial" w:hAnsi="Arial"/>
      <w:sz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086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086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0086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0086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7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7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1F5"/>
  </w:style>
  <w:style w:type="paragraph" w:styleId="Footer">
    <w:name w:val="footer"/>
    <w:basedOn w:val="Normal"/>
    <w:link w:val="FooterChar"/>
    <w:uiPriority w:val="99"/>
    <w:unhideWhenUsed/>
    <w:rsid w:val="004B71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1F5"/>
  </w:style>
  <w:style w:type="character" w:styleId="Strong">
    <w:name w:val="Strong"/>
    <w:basedOn w:val="DefaultParagraphFont"/>
    <w:uiPriority w:val="22"/>
    <w:qFormat/>
    <w:rsid w:val="00390398"/>
    <w:rPr>
      <w:b/>
      <w:bCs/>
    </w:rPr>
  </w:style>
  <w:style w:type="paragraph" w:styleId="ListParagraph">
    <w:name w:val="List Paragraph"/>
    <w:basedOn w:val="Normal"/>
    <w:uiPriority w:val="34"/>
    <w:qFormat/>
    <w:rsid w:val="00390398"/>
    <w:pPr>
      <w:spacing w:after="0" w:line="240" w:lineRule="auto"/>
      <w:ind w:left="720"/>
      <w:contextualSpacing/>
    </w:pPr>
    <w:rPr>
      <w:rFonts w:ascii="Arial" w:hAnsi="Arial"/>
      <w:sz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086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086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0086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0086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7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callum.anderson@theqca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heqca.com/shop/guides/86557/corporate-governance-code-for-small-and-midsize-quoted-companies-2013-downloadable-pdf.thtml" TargetMode="External"/><Relationship Id="rId1" Type="http://schemas.openxmlformats.org/officeDocument/2006/relationships/hyperlink" Target="http://www.theqca.com/shop/guides/118376/remuneration-committee-guide-for-small-and-midsize-quoted-companies-2016-downloadable-pdf.t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DF931-2A48-4B6E-A202-565DBDDA5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Callum Anderson</dc:creator>
  <cp:lastModifiedBy>Callum Anderson</cp:lastModifiedBy>
  <cp:revision>6</cp:revision>
  <dcterms:created xsi:type="dcterms:W3CDTF">2017-11-17T12:18:00Z</dcterms:created>
  <dcterms:modified xsi:type="dcterms:W3CDTF">2018-02-01T11:32:00Z</dcterms:modified>
</cp:coreProperties>
</file>